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00" w:lineRule="exact"/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現行條文</w:t>
      </w:r>
      <w:bookmarkStart w:id="0" w:name="_GoBack"/>
      <w:bookmarkEnd w:id="0"/>
    </w:p>
    <w:p>
      <w:pPr>
        <w:spacing w:afterLines="50" w:after="180" w:line="320" w:lineRule="exact"/>
        <w:ind w:leftChars="375" w:left="90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臺北市立大學輔導教師制實施要點</w:t>
      </w:r>
    </w:p>
    <w:p>
      <w:pPr>
        <w:spacing w:line="320" w:lineRule="exact"/>
        <w:ind w:leftChars="375" w:left="900" w:right="4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          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103年1月7日  </w:t>
      </w:r>
      <w:r>
        <w:rPr>
          <w:rFonts w:ascii="標楷體" w:eastAsia="標楷體" w:hAnsi="標楷體" w:cs="DFKaiShu-SB-Estd-BF"/>
          <w:kern w:val="0"/>
          <w:sz w:val="20"/>
          <w:szCs w:val="20"/>
        </w:rPr>
        <w:t xml:space="preserve">102 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學年度第6次行政會議通過</w:t>
      </w:r>
    </w:p>
    <w:p>
      <w:pPr>
        <w:spacing w:line="320" w:lineRule="exact"/>
        <w:ind w:leftChars="375" w:left="9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 xml:space="preserve">103年3月4日  </w:t>
      </w:r>
      <w:r>
        <w:rPr>
          <w:rFonts w:ascii="標楷體" w:eastAsia="標楷體" w:hAnsi="標楷體" w:cs="DFKaiShu-SB-Estd-BF"/>
          <w:kern w:val="0"/>
          <w:sz w:val="20"/>
          <w:szCs w:val="20"/>
        </w:rPr>
        <w:t xml:space="preserve">102 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學年度第7次行政會議修正通過</w:t>
      </w:r>
    </w:p>
    <w:p>
      <w:pPr>
        <w:wordWrap w:val="0"/>
        <w:spacing w:line="320" w:lineRule="exact"/>
        <w:ind w:leftChars="375" w:left="9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108年9月10日  108學年度第1次行政會議修正通過</w:t>
      </w:r>
    </w:p>
    <w:p>
      <w:pPr>
        <w:wordWrap w:val="0"/>
        <w:spacing w:line="320" w:lineRule="exact"/>
        <w:ind w:leftChars="375" w:left="9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109年3月24日  108學年度第3次校務會議修正通過</w:t>
      </w:r>
    </w:p>
    <w:p>
      <w:pPr>
        <w:spacing w:line="320" w:lineRule="exact"/>
        <w:ind w:leftChars="375" w:left="900"/>
        <w:jc w:val="righ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1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0年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6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月2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2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日  10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9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學年度第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4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次校務會議修正通過</w:t>
      </w:r>
    </w:p>
    <w:p>
      <w:pPr>
        <w:spacing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   </w:t>
      </w:r>
      <w:r>
        <w:rPr>
          <w:rFonts w:ascii="標楷體" w:eastAsia="標楷體" w:hAnsi="標楷體" w:cs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</w:p>
    <w:p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一、臺北市立大學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以下簡稱本校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為落實學生輔導工作，提升教育品質，特依「教師法」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         </w:t>
      </w:r>
    </w:p>
    <w:p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三十二條</w:t>
      </w:r>
      <w:r>
        <w:rPr>
          <w:rFonts w:ascii="標楷體" w:eastAsia="標楷體" w:hAnsi="標楷體" w:hint="eastAsia"/>
          <w:color w:val="000000"/>
        </w:rPr>
        <w:t>之規定，並參酌本校實際情況與需要，訂定本要點。</w:t>
      </w:r>
    </w:p>
    <w:p>
      <w:pPr>
        <w:snapToGrid w:val="0"/>
        <w:spacing w:beforeLines="50" w:before="180"/>
        <w:ind w:left="1418" w:hanging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二、輔導教師之編制原則如下：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學士班以班為單位，</w:t>
      </w:r>
      <w:proofErr w:type="gramStart"/>
      <w:r>
        <w:rPr>
          <w:rFonts w:ascii="標楷體" w:eastAsia="標楷體" w:hAnsi="標楷體" w:hint="eastAsia"/>
          <w:color w:val="000000"/>
        </w:rPr>
        <w:t>每班置輔導</w:t>
      </w:r>
      <w:proofErr w:type="gramEnd"/>
      <w:r>
        <w:rPr>
          <w:rFonts w:ascii="標楷體" w:eastAsia="標楷體" w:hAnsi="標楷體" w:hint="eastAsia"/>
          <w:color w:val="000000"/>
        </w:rPr>
        <w:t>教師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人為原則，置二人時，其輔導鐘點時數均分。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碩博士班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包括學位學程、進修碩士班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，由指導教授、系所主任共同輔導，各系所可自行設置輔導教師。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博愛校區非屬師資培育學系所之師資生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以下簡稱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，不分年級，以五十人內設置輔導教師一人，每逾五十人得再增置一位輔導教師。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天母校區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所師資生，以班級為單位設置計六個班，每班設置輔導教師一人。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卓越師資培育獎學金學生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以下</w:t>
      </w:r>
      <w:proofErr w:type="gramStart"/>
      <w:r>
        <w:rPr>
          <w:rFonts w:ascii="標楷體" w:eastAsia="標楷體" w:hAnsi="標楷體" w:hint="eastAsia"/>
          <w:color w:val="000000"/>
        </w:rPr>
        <w:t>簡稱卓獎生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、師資培育公費學生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以下簡稱公費生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合併計算，不分年級，以五十人內設置輔導教師一人，每逾五十人得再增置一位輔導教師。</w:t>
      </w:r>
    </w:p>
    <w:p>
      <w:pPr>
        <w:snapToGrid w:val="0"/>
        <w:spacing w:beforeLines="50" w:before="180"/>
        <w:ind w:left="1418" w:hanging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三、輔導教師之</w:t>
      </w:r>
      <w:proofErr w:type="gramStart"/>
      <w:r>
        <w:rPr>
          <w:rFonts w:ascii="標楷體" w:eastAsia="標楷體" w:hAnsi="標楷體" w:hint="eastAsia"/>
          <w:color w:val="000000"/>
        </w:rPr>
        <w:t>遴薦與</w:t>
      </w:r>
      <w:proofErr w:type="gramEnd"/>
      <w:r>
        <w:rPr>
          <w:rFonts w:ascii="標楷體" w:eastAsia="標楷體" w:hAnsi="標楷體" w:hint="eastAsia"/>
          <w:color w:val="000000"/>
        </w:rPr>
        <w:t>聘請，得依下列方式辦理：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輔導教師由各系、所</w:t>
      </w:r>
      <w:proofErr w:type="gramStart"/>
      <w:r>
        <w:rPr>
          <w:rFonts w:ascii="標楷體" w:eastAsia="標楷體" w:hAnsi="標楷體" w:hint="eastAsia"/>
          <w:color w:val="000000"/>
        </w:rPr>
        <w:t>遴薦該</w:t>
      </w:r>
      <w:proofErr w:type="gramEnd"/>
      <w:r>
        <w:rPr>
          <w:rFonts w:ascii="標楷體" w:eastAsia="標楷體" w:hAnsi="標楷體" w:hint="eastAsia"/>
          <w:color w:val="000000"/>
        </w:rPr>
        <w:t>系、所專任講師以上教師擔任。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所師資生、</w:t>
      </w:r>
      <w:proofErr w:type="gramStart"/>
      <w:r>
        <w:rPr>
          <w:rFonts w:ascii="標楷體" w:eastAsia="標楷體" w:hAnsi="標楷體" w:hint="eastAsia"/>
          <w:color w:val="000000"/>
        </w:rPr>
        <w:t>卓獎生</w:t>
      </w:r>
      <w:proofErr w:type="gramEnd"/>
      <w:r>
        <w:rPr>
          <w:rFonts w:ascii="標楷體" w:eastAsia="標楷體" w:hAnsi="標楷體" w:hint="eastAsia"/>
          <w:color w:val="000000"/>
        </w:rPr>
        <w:t>及公費生輔導教師由師資培育暨就業輔導中心專任教師擔任之，若有輔導教師員額不足時，則</w:t>
      </w:r>
      <w:proofErr w:type="gramStart"/>
      <w:r>
        <w:rPr>
          <w:rFonts w:ascii="標楷體" w:eastAsia="標楷體" w:hAnsi="標楷體" w:hint="eastAsia"/>
          <w:color w:val="000000"/>
        </w:rPr>
        <w:t>遴</w:t>
      </w:r>
      <w:proofErr w:type="gramEnd"/>
      <w:r>
        <w:rPr>
          <w:rFonts w:ascii="標楷體" w:eastAsia="標楷體" w:hAnsi="標楷體" w:hint="eastAsia"/>
          <w:color w:val="000000"/>
        </w:rPr>
        <w:t>薦本校專任教師擔任。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各單位</w:t>
      </w:r>
      <w:proofErr w:type="gramStart"/>
      <w:r>
        <w:rPr>
          <w:rFonts w:ascii="標楷體" w:eastAsia="標楷體" w:hAnsi="標楷體" w:hint="eastAsia"/>
          <w:color w:val="000000"/>
        </w:rPr>
        <w:t>遴</w:t>
      </w:r>
      <w:proofErr w:type="gramEnd"/>
      <w:r>
        <w:rPr>
          <w:rFonts w:ascii="標楷體" w:eastAsia="標楷體" w:hAnsi="標楷體" w:hint="eastAsia"/>
          <w:color w:val="000000"/>
        </w:rPr>
        <w:t>薦輔導教師應於開學前報送學生事務處彙整，簽請校長聘任之。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輔導教師遇有更調、出國進修或其他原因無法擔任時，各系所遴選其他教師接替之。</w:t>
      </w:r>
    </w:p>
    <w:p>
      <w:pPr>
        <w:snapToGrid w:val="0"/>
        <w:spacing w:beforeLines="50" w:before="180"/>
        <w:ind w:left="1418" w:hanging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四、輔導教師之職責：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瞭解學生之家庭及個人狀況，考察學生平日生活言行，指導學生修身向學，參與課外活動，協助學生解決困難及意見反應等問題。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除平時擔任該班學生輔導工作外，應於課表所排之綜合輔導時間擔任該班輔導工作，並填寫學生活動暨輔導紀錄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如附表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有效運用輔導網，與各相關輔導單位密切配合，相互支援。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培育學生民主法治精神及現代化公民素養，鼓勵參加校、系週會、班會，服務學習課程與全校等活動。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定期舉行談話會、討論會以及其他有關團體生活之指導，隨時輔導學生改進缺失並與學生家長（監護人）密切聯繫。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建議學生獎懲事項。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出席學生事務相關會議及輔導知能研討會。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協助學生事務處處理有關學生之特殊問題與重大事項。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九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輔導教師須於每次課後填寫「輔導教師輔導活動紀錄」，輔導時間每週實施一小時或隔</w:t>
      </w:r>
      <w:proofErr w:type="gramStart"/>
      <w:r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實施二小時，送學生事務處核備，若有校、院級集會等活動，則另行公告實施。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(十) 學生緊急事件之處理及學生家長聯繫。如遇重大或特殊問題時，得商請或轉</w:t>
      </w:r>
      <w:proofErr w:type="gramStart"/>
      <w:r>
        <w:rPr>
          <w:rFonts w:ascii="標楷體" w:eastAsia="標楷體" w:hAnsi="標楷體" w:hint="eastAsia"/>
          <w:color w:val="000000"/>
        </w:rPr>
        <w:t>介</w:t>
      </w:r>
      <w:proofErr w:type="gramEnd"/>
      <w:r>
        <w:rPr>
          <w:rFonts w:ascii="標楷體" w:eastAsia="標楷體" w:hAnsi="標楷體" w:hint="eastAsia"/>
          <w:color w:val="000000"/>
        </w:rPr>
        <w:t>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處相關單位(生活輔導組、學生輔導中心、健康促進中心)共同處理及輔導。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(</w:t>
      </w:r>
      <w:r>
        <w:rPr>
          <w:rFonts w:ascii="標楷體" w:eastAsia="標楷體" w:hAnsi="標楷體" w:hint="eastAsia"/>
          <w:color w:val="000000"/>
        </w:rPr>
        <w:t>十一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其他有關學生事務事宜。</w:t>
      </w:r>
    </w:p>
    <w:p>
      <w:pPr>
        <w:snapToGrid w:val="0"/>
        <w:spacing w:beforeLines="50" w:before="180"/>
        <w:ind w:left="1418" w:hanging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五、各系、所、中心輔導教師輔導學生可依據本校特色及學生需要，訂定輔導計畫，協助學</w:t>
      </w:r>
    </w:p>
    <w:p>
      <w:pPr>
        <w:snapToGrid w:val="0"/>
        <w:ind w:left="1418" w:hanging="14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生解決困難。各年級輔導計畫，請參考下列重點訂定：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學士班一年級：認識自我，定向輔導及讀書計畫。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學士班二年級：服務學習，輔系選擇及交友輔導。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學士班三年級：生涯探索，專業學習及進修計畫。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學士班四年級：自我定向，角色調適及生涯規劃。</w:t>
      </w:r>
    </w:p>
    <w:p>
      <w:pPr>
        <w:snapToGrid w:val="0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所師資生、</w:t>
      </w:r>
      <w:proofErr w:type="gramStart"/>
      <w:r>
        <w:rPr>
          <w:rFonts w:ascii="標楷體" w:eastAsia="標楷體" w:hAnsi="標楷體" w:hint="eastAsia"/>
          <w:color w:val="000000"/>
        </w:rPr>
        <w:t>卓獎生</w:t>
      </w:r>
      <w:proofErr w:type="gramEnd"/>
      <w:r>
        <w:rPr>
          <w:rFonts w:ascii="標楷體" w:eastAsia="標楷體" w:hAnsi="標楷體" w:hint="eastAsia"/>
          <w:color w:val="000000"/>
        </w:rPr>
        <w:t>及公費生：針對培養教師專業素養、教育專業課程選課輔導、學習輔導、服務學習及教師生涯規劃等主題進行適性輔導。</w:t>
      </w:r>
    </w:p>
    <w:p>
      <w:pPr>
        <w:snapToGrid w:val="0"/>
        <w:spacing w:beforeLines="50" w:before="180"/>
        <w:ind w:left="1416" w:hangingChars="590" w:hanging="141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六、課程注意事項暨輔導鐘點費支給規定：</w:t>
      </w:r>
    </w:p>
    <w:p>
      <w:pPr>
        <w:snapToGrid w:val="0"/>
        <w:ind w:left="1416" w:hangingChars="590" w:hanging="141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課程注意事項</w:t>
      </w:r>
    </w:p>
    <w:p>
      <w:pPr>
        <w:snapToGrid w:val="0"/>
        <w:ind w:leftChars="255" w:left="864" w:hangingChars="105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學士班學生繳交全額學雜費者須接受「大學生活學習與輔導」課程，必修零學分（交換生、已修滿八學期者及成績優異提早畢業同學，均不在此限並溯及既往）。</w:t>
      </w:r>
    </w:p>
    <w:p>
      <w:pPr>
        <w:snapToGrid w:val="0"/>
        <w:ind w:leftChars="255" w:left="864" w:hangingChars="105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所師資生、</w:t>
      </w:r>
      <w:proofErr w:type="gramStart"/>
      <w:r>
        <w:rPr>
          <w:rFonts w:ascii="標楷體" w:eastAsia="標楷體" w:hAnsi="標楷體" w:hint="eastAsia"/>
          <w:color w:val="000000"/>
        </w:rPr>
        <w:t>卓獎生</w:t>
      </w:r>
      <w:proofErr w:type="gramEnd"/>
      <w:r>
        <w:rPr>
          <w:rFonts w:ascii="標楷體" w:eastAsia="標楷體" w:hAnsi="標楷體" w:hint="eastAsia"/>
          <w:color w:val="000000"/>
        </w:rPr>
        <w:t>及公費生，學生繳交全額學雜費者須接受「教師志業與服務」課程，必修零學分。</w:t>
      </w:r>
    </w:p>
    <w:p>
      <w:pPr>
        <w:snapToGrid w:val="0"/>
        <w:ind w:leftChars="255" w:left="864" w:hangingChars="105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 w:hint="eastAsia"/>
          <w:color w:val="000000"/>
        </w:rPr>
        <w:t>天母校區學生於本要點實施</w:t>
      </w:r>
      <w:proofErr w:type="gramStart"/>
      <w:r>
        <w:rPr>
          <w:rFonts w:ascii="標楷體" w:eastAsia="標楷體" w:hAnsi="標楷體" w:hint="eastAsia"/>
          <w:color w:val="000000"/>
        </w:rPr>
        <w:t>前暨轉</w:t>
      </w:r>
      <w:proofErr w:type="gramEnd"/>
      <w:r>
        <w:rPr>
          <w:rFonts w:ascii="標楷體" w:eastAsia="標楷體" w:hAnsi="標楷體" w:hint="eastAsia"/>
          <w:color w:val="000000"/>
        </w:rPr>
        <w:t>學生於轉學前之學期，得免補修此課程。</w:t>
      </w:r>
      <w:r>
        <w:rPr>
          <w:rFonts w:ascii="標楷體" w:eastAsia="標楷體" w:hAnsi="標楷體"/>
          <w:color w:val="000000"/>
        </w:rPr>
        <w:t xml:space="preserve"> </w:t>
      </w:r>
    </w:p>
    <w:p>
      <w:pPr>
        <w:snapToGrid w:val="0"/>
        <w:ind w:leftChars="255" w:left="864" w:hangingChars="105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 w:hint="eastAsia"/>
          <w:color w:val="000000"/>
        </w:rPr>
        <w:t>修課原則以入學年度原班上課，因故休學，復學後之班級，依教務處學籍分班原則規定辦理，並不受限課程一至八順序規定。</w:t>
      </w:r>
    </w:p>
    <w:p>
      <w:pPr>
        <w:snapToGrid w:val="0"/>
        <w:ind w:leftChars="255" w:left="864" w:hangingChars="105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r>
        <w:rPr>
          <w:rFonts w:eastAsia="標楷體"/>
          <w:color w:val="000000"/>
          <w:kern w:val="0"/>
          <w:sz w:val="26"/>
          <w:szCs w:val="26"/>
        </w:rPr>
        <w:t>交換生與</w:t>
      </w:r>
      <w:r>
        <w:rPr>
          <w:rFonts w:eastAsia="標楷體" w:hint="eastAsia"/>
          <w:color w:val="000000"/>
          <w:kern w:val="0"/>
          <w:sz w:val="26"/>
          <w:szCs w:val="26"/>
        </w:rPr>
        <w:t>境外</w:t>
      </w: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研</w:t>
      </w:r>
      <w:proofErr w:type="gramEnd"/>
      <w:r>
        <w:rPr>
          <w:rFonts w:eastAsia="標楷體" w:hint="eastAsia"/>
          <w:color w:val="000000"/>
          <w:kern w:val="0"/>
          <w:sz w:val="26"/>
          <w:szCs w:val="26"/>
        </w:rPr>
        <w:t>修</w:t>
      </w:r>
      <w:r>
        <w:rPr>
          <w:rFonts w:eastAsia="標楷體"/>
          <w:color w:val="000000"/>
          <w:kern w:val="0"/>
          <w:sz w:val="26"/>
          <w:szCs w:val="26"/>
        </w:rPr>
        <w:t>生</w:t>
      </w:r>
      <w:r>
        <w:rPr>
          <w:rFonts w:eastAsia="標楷體" w:hint="eastAsia"/>
          <w:color w:val="000000"/>
          <w:kern w:val="0"/>
          <w:sz w:val="26"/>
          <w:szCs w:val="26"/>
        </w:rPr>
        <w:t>均納入該班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隨</w:t>
      </w:r>
      <w:proofErr w:type="gramStart"/>
      <w:r>
        <w:rPr>
          <w:rFonts w:eastAsia="標楷體" w:hint="eastAsia"/>
          <w:color w:val="000000"/>
          <w:kern w:val="0"/>
          <w:sz w:val="26"/>
          <w:szCs w:val="26"/>
        </w:rPr>
        <w:t>班附讀</w:t>
      </w:r>
      <w:proofErr w:type="gramEnd"/>
      <w:r>
        <w:rPr>
          <w:rFonts w:eastAsia="標楷體" w:hint="eastAsia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之輔導機制。</w:t>
      </w:r>
    </w:p>
    <w:p>
      <w:pPr>
        <w:snapToGrid w:val="0"/>
        <w:spacing w:beforeLines="50" w:before="180"/>
        <w:ind w:left="1416" w:hangingChars="590" w:hanging="141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輔導鐘點費</w:t>
      </w:r>
    </w:p>
    <w:p>
      <w:pPr>
        <w:snapToGrid w:val="0"/>
        <w:ind w:leftChars="257" w:left="876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學士班輔導教師鐘點費，每週一小時，每學年核發九個月。</w:t>
      </w:r>
    </w:p>
    <w:p>
      <w:pPr>
        <w:snapToGrid w:val="0"/>
        <w:ind w:leftChars="257" w:left="876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博碩士班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包括學位學程、進修碩士班</w:t>
      </w:r>
      <w:proofErr w:type="gramStart"/>
      <w:r>
        <w:rPr>
          <w:rFonts w:ascii="標楷體" w:eastAsia="標楷體" w:hAnsi="標楷體" w:hint="eastAsia"/>
          <w:color w:val="000000"/>
        </w:rPr>
        <w:t>）不</w:t>
      </w:r>
      <w:proofErr w:type="gramEnd"/>
      <w:r>
        <w:rPr>
          <w:rFonts w:ascii="標楷體" w:eastAsia="標楷體" w:hAnsi="標楷體" w:hint="eastAsia"/>
          <w:color w:val="000000"/>
        </w:rPr>
        <w:t>核發輔導教師鐘點費。</w:t>
      </w:r>
    </w:p>
    <w:p>
      <w:pPr>
        <w:snapToGrid w:val="0"/>
        <w:ind w:leftChars="257" w:left="876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proofErr w:type="gramStart"/>
      <w:r>
        <w:rPr>
          <w:rFonts w:ascii="標楷體" w:eastAsia="標楷體" w:hAnsi="標楷體" w:hint="eastAsia"/>
          <w:color w:val="000000"/>
        </w:rPr>
        <w:t>非師培系</w:t>
      </w:r>
      <w:proofErr w:type="gramEnd"/>
      <w:r>
        <w:rPr>
          <w:rFonts w:ascii="標楷體" w:eastAsia="標楷體" w:hAnsi="標楷體" w:hint="eastAsia"/>
          <w:color w:val="000000"/>
        </w:rPr>
        <w:t>所師資生、</w:t>
      </w:r>
      <w:proofErr w:type="gramStart"/>
      <w:r>
        <w:rPr>
          <w:rFonts w:ascii="標楷體" w:eastAsia="標楷體" w:hAnsi="標楷體" w:hint="eastAsia"/>
          <w:color w:val="000000"/>
        </w:rPr>
        <w:t>卓獎生</w:t>
      </w:r>
      <w:proofErr w:type="gramEnd"/>
      <w:r>
        <w:rPr>
          <w:rFonts w:ascii="標楷體" w:eastAsia="標楷體" w:hAnsi="標楷體" w:hint="eastAsia"/>
          <w:color w:val="000000"/>
        </w:rPr>
        <w:t>及公費生，每週一小時，每學年核發九個月。</w:t>
      </w:r>
    </w:p>
    <w:p>
      <w:pPr>
        <w:snapToGrid w:val="0"/>
        <w:ind w:leftChars="257" w:left="876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 w:hint="eastAsia"/>
          <w:color w:val="000000"/>
        </w:rPr>
        <w:t>專任教師兼任大學部輔導教師者，依本校教師授課時數及支給超支鐘點費要點第二點、第七點及第九點標準發給。</w:t>
      </w:r>
    </w:p>
    <w:p>
      <w:pPr>
        <w:adjustRightInd w:val="0"/>
        <w:snapToGrid w:val="0"/>
        <w:ind w:left="480" w:hangingChars="200" w:hanging="480"/>
        <w:jc w:val="both"/>
        <w:rPr>
          <w:rFonts w:eastAsia="標楷體" w:hAnsi="標楷體"/>
          <w:color w:val="000000"/>
          <w:sz w:val="25"/>
          <w:szCs w:val="25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eastAsia="標楷體" w:hAnsi="標楷體"/>
          <w:sz w:val="25"/>
          <w:szCs w:val="25"/>
        </w:rPr>
        <w:t xml:space="preserve"> (</w:t>
      </w:r>
      <w:r>
        <w:rPr>
          <w:rFonts w:eastAsia="標楷體" w:hAnsi="標楷體" w:hint="eastAsia"/>
          <w:sz w:val="25"/>
          <w:szCs w:val="25"/>
        </w:rPr>
        <w:t>三</w:t>
      </w:r>
      <w:r>
        <w:rPr>
          <w:rFonts w:eastAsia="標楷體" w:hAnsi="標楷體"/>
          <w:sz w:val="25"/>
          <w:szCs w:val="25"/>
        </w:rPr>
        <w:t>)</w:t>
      </w:r>
      <w:r>
        <w:rPr>
          <w:rFonts w:eastAsia="標楷體" w:hAnsi="標楷體" w:hint="eastAsia"/>
          <w:sz w:val="25"/>
          <w:szCs w:val="25"/>
        </w:rPr>
        <w:t>班級輔導活動費</w:t>
      </w:r>
    </w:p>
    <w:p>
      <w:pPr>
        <w:adjustRightInd w:val="0"/>
        <w:snapToGrid w:val="0"/>
        <w:ind w:left="750" w:hangingChars="300" w:hanging="750"/>
        <w:jc w:val="both"/>
        <w:rPr>
          <w:rFonts w:ascii="標楷體" w:eastAsia="標楷體" w:hAnsi="標楷體"/>
          <w:sz w:val="25"/>
          <w:szCs w:val="25"/>
        </w:rPr>
      </w:pPr>
      <w:r>
        <w:rPr>
          <w:rFonts w:eastAsia="標楷體" w:hAnsi="標楷體"/>
          <w:color w:val="000000"/>
          <w:sz w:val="25"/>
          <w:szCs w:val="25"/>
        </w:rPr>
        <w:t xml:space="preserve">     </w:t>
      </w:r>
      <w:r>
        <w:rPr>
          <w:rFonts w:ascii="標楷體" w:eastAsia="標楷體" w:hAnsi="標楷體"/>
          <w:color w:val="000000"/>
          <w:sz w:val="25"/>
          <w:szCs w:val="25"/>
        </w:rPr>
        <w:t>1.</w:t>
      </w:r>
      <w:r>
        <w:rPr>
          <w:rFonts w:ascii="標楷體" w:eastAsia="標楷體" w:hAnsi="標楷體" w:hint="eastAsia"/>
          <w:color w:val="000000"/>
          <w:sz w:val="25"/>
          <w:szCs w:val="25"/>
        </w:rPr>
        <w:t>學士</w:t>
      </w:r>
      <w:r>
        <w:rPr>
          <w:rFonts w:ascii="標楷體" w:eastAsia="標楷體" w:hAnsi="標楷體" w:hint="eastAsia"/>
          <w:sz w:val="25"/>
          <w:szCs w:val="25"/>
        </w:rPr>
        <w:t>班每人每學期最高補助八十元，需檢據核銷。</w:t>
      </w:r>
    </w:p>
    <w:p>
      <w:pPr>
        <w:snapToGrid w:val="0"/>
        <w:ind w:leftChars="208" w:left="874" w:hangingChars="150" w:hanging="375"/>
        <w:jc w:val="both"/>
        <w:rPr>
          <w:rFonts w:ascii="標楷體" w:eastAsia="標楷體" w:hAnsi="標楷體"/>
          <w:color w:val="000000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 xml:space="preserve"> 2.</w:t>
      </w:r>
      <w:r>
        <w:rPr>
          <w:rFonts w:ascii="標楷體" w:eastAsia="標楷體" w:hAnsi="標楷體" w:hint="eastAsia"/>
          <w:sz w:val="25"/>
          <w:szCs w:val="25"/>
        </w:rPr>
        <w:t>博</w:t>
      </w:r>
      <w:r>
        <w:rPr>
          <w:rFonts w:ascii="標楷體" w:eastAsia="標楷體" w:hAnsi="標楷體" w:hint="eastAsia"/>
        </w:rPr>
        <w:t>碩士</w:t>
      </w:r>
      <w:r>
        <w:rPr>
          <w:rFonts w:ascii="標楷體" w:eastAsia="標楷體" w:hAnsi="標楷體" w:hint="eastAsia"/>
          <w:sz w:val="25"/>
          <w:szCs w:val="25"/>
        </w:rPr>
        <w:t>班</w:t>
      </w:r>
      <w:r>
        <w:rPr>
          <w:rFonts w:ascii="標楷體" w:eastAsia="標楷體" w:hAnsi="標楷體"/>
          <w:sz w:val="25"/>
          <w:szCs w:val="25"/>
        </w:rPr>
        <w:t>(</w:t>
      </w:r>
      <w:r>
        <w:rPr>
          <w:rFonts w:ascii="標楷體" w:eastAsia="標楷體" w:hAnsi="標楷體" w:hint="eastAsia"/>
          <w:sz w:val="25"/>
          <w:szCs w:val="25"/>
        </w:rPr>
        <w:t>含學位學程、不含進修碩士班</w:t>
      </w:r>
      <w:proofErr w:type="gramStart"/>
      <w:r>
        <w:rPr>
          <w:rFonts w:ascii="標楷體" w:eastAsia="標楷體" w:hAnsi="標楷體" w:hint="eastAsia"/>
          <w:sz w:val="25"/>
          <w:szCs w:val="25"/>
        </w:rPr>
        <w:t>）</w:t>
      </w:r>
      <w:proofErr w:type="gramEnd"/>
      <w:r>
        <w:rPr>
          <w:rFonts w:ascii="標楷體" w:eastAsia="標楷體" w:hAnsi="標楷體" w:hint="eastAsia"/>
          <w:sz w:val="25"/>
          <w:szCs w:val="25"/>
        </w:rPr>
        <w:t>每人每學期最高補助八十元</w:t>
      </w:r>
      <w:r>
        <w:rPr>
          <w:rFonts w:ascii="標楷體" w:eastAsia="標楷體" w:hAnsi="標楷體" w:hint="eastAsia"/>
          <w:color w:val="000000"/>
          <w:sz w:val="25"/>
          <w:szCs w:val="25"/>
        </w:rPr>
        <w:t>，需檢據核銷（碩士班以二年為限，博士班以三年為限）。</w:t>
      </w:r>
    </w:p>
    <w:p>
      <w:pPr>
        <w:snapToGrid w:val="0"/>
        <w:jc w:val="both"/>
        <w:rPr>
          <w:rFonts w:ascii="標楷體" w:eastAsia="標楷體" w:hAnsi="標楷體"/>
          <w:color w:val="000000"/>
          <w:sz w:val="25"/>
          <w:szCs w:val="25"/>
        </w:rPr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3.</w:t>
      </w:r>
      <w:r>
        <w:rPr>
          <w:rFonts w:ascii="標楷體" w:eastAsia="標楷體" w:hAnsi="標楷體" w:hint="eastAsia"/>
          <w:color w:val="000000"/>
          <w:sz w:val="25"/>
          <w:szCs w:val="25"/>
        </w:rPr>
        <w:t>上述班級輔導活動費，支用項目與範圍由學生事務處另行訂定之。</w:t>
      </w:r>
    </w:p>
    <w:p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七、本校每學期定期召開輔導教師會議一次，討論工作實施情形及研究有關學生事務共同問題。</w:t>
      </w:r>
    </w:p>
    <w:p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八、輔導教師宜主動、適時參加校內外輔導知能之進修或研習，以增進專業知能，提昇輔導學生之能力。</w:t>
      </w:r>
    </w:p>
    <w:p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九、教師輔導學生時，得視實際需要</w:t>
      </w:r>
      <w:proofErr w:type="gramStart"/>
      <w:r>
        <w:rPr>
          <w:rFonts w:ascii="標楷體" w:eastAsia="標楷體" w:hAnsi="標楷體" w:hint="eastAsia"/>
          <w:color w:val="000000"/>
        </w:rPr>
        <w:t>請學輔中心</w:t>
      </w:r>
      <w:proofErr w:type="gramEnd"/>
      <w:r>
        <w:rPr>
          <w:rFonts w:ascii="標楷體" w:eastAsia="標楷體" w:hAnsi="標楷體" w:hint="eastAsia"/>
          <w:color w:val="000000"/>
        </w:rPr>
        <w:t>或相關單位協助處理學生問題。</w:t>
      </w:r>
    </w:p>
    <w:p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十、為表彰績優輔導教師，凡輔導學生或工作執行優異，有具體事實者，依本校「績優輔導教師暨教官評選注意事項」辦理評選。</w:t>
      </w:r>
    </w:p>
    <w:p>
      <w:pPr>
        <w:spacing w:beforeLines="50" w:before="18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十一、輔導教師職責及相關規定輔導學生，若有重大疏失，經確定後，即應予停聘。</w:t>
      </w:r>
    </w:p>
    <w:p>
      <w:pPr>
        <w:spacing w:beforeLines="50" w:before="180"/>
        <w:ind w:left="720" w:hangingChars="300" w:hanging="720"/>
        <w:jc w:val="both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十二、本要點經校務會議通過，陳請校長核定後實施</w:t>
      </w:r>
      <w:r>
        <w:rPr>
          <w:rFonts w:ascii="標楷體" w:eastAsia="標楷體" w:hAnsi="標楷體" w:hint="eastAsia"/>
        </w:rPr>
        <w:t>，並報請臺北市政府教育局核備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</w:p>
    <w:sectPr>
      <w:footerReference w:type="even" r:id="rId6"/>
      <w:footerReference w:type="default" r:id="rId7"/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31226-CB05-4896-A9F7-0E598B32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黃文潔-wunjie</dc:creator>
  <cp:keywords/>
  <dc:description/>
  <cp:lastModifiedBy>盛秀明-stguide02</cp:lastModifiedBy>
  <cp:revision>27</cp:revision>
  <dcterms:created xsi:type="dcterms:W3CDTF">2021-07-16T02:19:00Z</dcterms:created>
  <dcterms:modified xsi:type="dcterms:W3CDTF">2021-07-16T02:29:00Z</dcterms:modified>
</cp:coreProperties>
</file>